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  <w:lang w:val="en-US" w:eastAsia="zh-CN"/>
        </w:rPr>
      </w:pPr>
      <w:bookmarkStart w:id="0" w:name="OLE_LINK2"/>
      <w:r>
        <w:rPr>
          <w:rFonts w:hint="eastAsia"/>
          <w:sz w:val="44"/>
          <w:szCs w:val="44"/>
          <w:lang w:val="en-US" w:eastAsia="zh-CN"/>
        </w:rPr>
        <w:t xml:space="preserve">  </w:t>
      </w:r>
      <w:bookmarkStart w:id="2" w:name="_GoBack"/>
      <w:bookmarkEnd w:id="2"/>
      <w:r>
        <w:rPr>
          <w:rFonts w:hint="eastAsia"/>
          <w:sz w:val="44"/>
          <w:szCs w:val="44"/>
          <w:lang w:val="en-US" w:eastAsia="zh-CN"/>
        </w:rPr>
        <w:t>原材料仓库模具库建设方案</w:t>
      </w:r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“重污染天气重点行业应急减排措施制定技术指南（2020年修订版）”无组织排放模块对环保B级企业的要求“生铁、废钢、焦炭和铁合金等粒状、块状散装物料应存储于半封闭储库及以上措施，半封闭储库应至少两面有围墙（围挡）及屋顶，并对物料采取覆盖或喷淋（雾）等抑尘措施”。的要求；以及公司铸造车间内生产现场模具存放较多，制约公司铸造产能提升。现计划在原材料仓库建设模具库，总体预算约49万元。具体改造方案如下：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根据原材料库的现状，结合模具存放的需求，现计划在原材料库搭建两处钢结构敞篷。</w:t>
      </w: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一、敞篷一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1、该敞篷的位置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该敞篷位置为原材料仓库南门北至中间门南的区域，南北起始点为该区域西侧的敞篷南北墙为基准，总体尺寸见下图（尺寸以实际现场测量为准）：</w:t>
      </w:r>
    </w:p>
    <w:p>
      <w:pPr>
        <w:numPr>
          <w:ilvl w:val="0"/>
          <w:numId w:val="0"/>
        </w:numPr>
        <w:jc w:val="left"/>
        <w:rPr>
          <w:rFonts w:hint="eastAsia" w:ascii="Calibri" w:hAnsi="Calibri" w:eastAsia="宋体" w:cs="Calibri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630545" cy="1995805"/>
            <wp:effectExtent l="0" t="0" r="825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1.1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西南角第一立柱的定位：以西侧敞篷的最南侧立柱为基准；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具体要求如下: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西北角第一立柱的定位：以西测敞篷的最北立柱为基准；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1.3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东南角、东北角的第一立柱以东南角和东北角第一立柱确定的直线为基准线，分别向东侧引垂线，与东侧敞篷的西侧纵梁相交的点分别为东南角、东北角的第一立柱。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2、其他</w:t>
      </w:r>
      <w:r>
        <w:rPr>
          <w:rFonts w:hint="eastAsia"/>
          <w:sz w:val="28"/>
          <w:szCs w:val="28"/>
          <w:lang w:val="en-US" w:eastAsia="zh-CN"/>
        </w:rPr>
        <w:t>技术要求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2.1房顶</w:t>
      </w:r>
      <w:r>
        <w:rPr>
          <w:rFonts w:hint="eastAsia"/>
          <w:sz w:val="28"/>
          <w:szCs w:val="28"/>
          <w:lang w:val="en-US" w:eastAsia="zh-CN"/>
        </w:rPr>
        <w:t>主体结构采用工字钢，具体截面尺寸由投标方设计，并经我方确认后确定后实施。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2.2西侧立柱位置以现有西侧敞篷下面的立柱为基准，直接在立柱上方接高至 离地6.5米；东侧的立柱按照西侧立柱对应位置在东侧敞棚纵梁上焊接，高度与西侧平齐，根据结构承重情况可在敞篷适当位置增加立柱，以确保敞篷整体强度。 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2.3顶部安装0.6mm的彩钢瓦，彩钢瓦东西两侧伸出立柱至少500mm，且每跨安装一趟采光瓦。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2.4敞篷东西两侧立面与原敞篷房顶之间的间隙安装彩钢瓦，以避免下雨时雨水进入敞篷；南北两侧为敞开式。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bookmarkStart w:id="1" w:name="OLE_LINK1"/>
      <w:r>
        <w:rPr>
          <w:rFonts w:hint="eastAsia"/>
          <w:sz w:val="28"/>
          <w:szCs w:val="28"/>
          <w:lang w:val="en-US" w:eastAsia="zh-CN"/>
        </w:rPr>
        <w:t>2.5敞篷顶部安装3盏200W的LED顶灯。</w:t>
      </w:r>
    </w:p>
    <w:p>
      <w:pPr>
        <w:widowControl w:val="0"/>
        <w:numPr>
          <w:ilvl w:val="0"/>
          <w:numId w:val="0"/>
        </w:numPr>
        <w:ind w:left="560" w:hanging="560" w:hanging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2.6主体可以采用二手钢结构，但需重新防锈处理并涂防锈漆和深灰色面漆。</w:t>
      </w:r>
      <w:bookmarkEnd w:id="1"/>
      <w:r>
        <w:rPr>
          <w:rFonts w:hint="eastAsia"/>
          <w:sz w:val="28"/>
          <w:szCs w:val="28"/>
          <w:lang w:val="en-US" w:eastAsia="zh-CN"/>
        </w:rPr>
        <w:t>二、敞篷二</w:t>
      </w:r>
    </w:p>
    <w:p>
      <w:pPr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1、该敞篷的位置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该敞篷位于原材料库现行车位置，总体尺寸见下图（尺寸以实际现场测量为准）：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具体要求如下：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809615" cy="2771140"/>
            <wp:effectExtent l="0" t="0" r="63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具体要求如下：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1.1南北方向：南侧起点位置为行车导轨梁的南端，向北延伸1米为最南侧第一立柱，北侧的终点为从第一立柱中心线向北延伸58.5米为最北侧第一立柱，中间立柱间距6.5米均布。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1.2东西方向：行车的导轨间距为15米，西侧立柱以西侧行车道轨中心线为基准向西延伸4.65米为西侧立柱中心线；东侧立柱以东侧行车导轨中心线向东延伸1米为东侧立柱中心线。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2、其他技术要求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2.1立柱及房顶横梁采用工字钢，立柱高度7.5米（与敞篷一同高）。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2.2房顶安装0.6mm的彩钢瓦，且每跨东西方向增加采光瓦；东西两侧离地高度0.5米以上安装0.6mm的彩钢瓦；南北两侧为敞开式。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2.3该敞篷东侧如干涉需伐掉。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2.4敞篷顶部安装4盏200W的LED顶灯。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2.5主体可以采用二手钢结构，但需重新防锈处理并涂防锈漆和深灰色面漆。</w:t>
      </w:r>
    </w:p>
    <w:p>
      <w:pPr>
        <w:widowControl w:val="0"/>
        <w:numPr>
          <w:ilvl w:val="0"/>
          <w:numId w:val="1"/>
        </w:numPr>
        <w:ind w:left="70" w:leftChars="0" w:firstLine="56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整体质量要求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本项目的敞篷由投标方负责厂房结构的整体设计，除满足上面的技术要求外，需满足以下质量要求：</w:t>
      </w:r>
    </w:p>
    <w:p>
      <w:pPr>
        <w:widowControl w:val="0"/>
        <w:numPr>
          <w:ilvl w:val="0"/>
          <w:numId w:val="2"/>
        </w:numPr>
        <w:ind w:left="56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敞篷抗风等级达到10级以上，如避免南北方向的穿堂风过大，可在南北两侧上部增加挡板，但高度不得低于5米。</w:t>
      </w:r>
    </w:p>
    <w:p>
      <w:pPr>
        <w:widowControl w:val="0"/>
        <w:numPr>
          <w:ilvl w:val="0"/>
          <w:numId w:val="2"/>
        </w:numPr>
        <w:ind w:left="56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房顶一年内无漏雨现象。</w:t>
      </w:r>
    </w:p>
    <w:p>
      <w:pPr>
        <w:widowControl w:val="0"/>
        <w:numPr>
          <w:ilvl w:val="0"/>
          <w:numId w:val="2"/>
        </w:numPr>
        <w:ind w:left="56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房顶满足当地雪量的承载负荷。</w:t>
      </w:r>
    </w:p>
    <w:sectPr>
      <w:pgSz w:w="11906" w:h="16838"/>
      <w:pgMar w:top="1440" w:right="1349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DD7A4"/>
    <w:multiLevelType w:val="singleLevel"/>
    <w:tmpl w:val="A9DDD7A4"/>
    <w:lvl w:ilvl="0" w:tentative="0">
      <w:start w:val="3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abstractNum w:abstractNumId="1">
    <w:nsid w:val="1A644AAD"/>
    <w:multiLevelType w:val="singleLevel"/>
    <w:tmpl w:val="1A644AAD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41FF8"/>
    <w:rsid w:val="11ED15A8"/>
    <w:rsid w:val="18E5050B"/>
    <w:rsid w:val="21DF56F1"/>
    <w:rsid w:val="22BE20A7"/>
    <w:rsid w:val="23454C74"/>
    <w:rsid w:val="333109A8"/>
    <w:rsid w:val="3DD009C3"/>
    <w:rsid w:val="4A414988"/>
    <w:rsid w:val="566336D5"/>
    <w:rsid w:val="5EE07930"/>
    <w:rsid w:val="609F5D58"/>
    <w:rsid w:val="6CAA2A41"/>
    <w:rsid w:val="6F841FF8"/>
    <w:rsid w:val="6F8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2025-03-03T07:50:00Z</dcterms:created>
  <dc:creator>zhiyong wang</dc:creator>
  <cp:lastModifiedBy>zhiyong wang</cp:lastModifiedBy>
  <cp:lastPrinted>2025-08-29T01:39:31Z</cp:lastPrinted>
  <dcterms:modified xsi:type="dcterms:W3CDTF">2025-08-29T01:47:06Z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4E580AEEDBF242469816730C5C4ACC52</vt:lpwstr>
  </property>
</Properties>
</file>